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41F" w:rsidRDefault="00B1641F" w:rsidP="004C0B22">
      <w:pPr>
        <w:rPr>
          <w:b/>
          <w:lang w:val="hr-BA"/>
        </w:rPr>
      </w:pPr>
    </w:p>
    <w:p w:rsidR="00B1641F" w:rsidRDefault="00B1641F" w:rsidP="004C0B22">
      <w:pPr>
        <w:rPr>
          <w:b/>
          <w:lang w:val="hr-BA"/>
        </w:rPr>
      </w:pPr>
    </w:p>
    <w:p w:rsidR="00B1641F" w:rsidRDefault="00B1641F" w:rsidP="004C0B22">
      <w:pPr>
        <w:rPr>
          <w:b/>
          <w:lang w:val="hr-BA"/>
        </w:rPr>
      </w:pPr>
    </w:p>
    <w:p w:rsidR="00B1641F" w:rsidRDefault="00B1641F" w:rsidP="004C0B22">
      <w:pPr>
        <w:rPr>
          <w:b/>
          <w:lang w:val="hr-BA"/>
        </w:rPr>
      </w:pPr>
    </w:p>
    <w:p w:rsidR="004C0B22" w:rsidRPr="00D25ABB" w:rsidRDefault="004C0B22" w:rsidP="004C0B22">
      <w:pPr>
        <w:rPr>
          <w:b/>
          <w:lang w:val="hr-BA"/>
        </w:rPr>
      </w:pPr>
      <w:r w:rsidRPr="00D25ABB">
        <w:rPr>
          <w:b/>
          <w:lang w:val="hr-BA"/>
        </w:rPr>
        <w:t>BOSNA I HERCEGOVINA</w:t>
      </w:r>
    </w:p>
    <w:p w:rsidR="004C0B22" w:rsidRPr="00D25ABB" w:rsidRDefault="004C0B22" w:rsidP="004C0B22">
      <w:pPr>
        <w:rPr>
          <w:b/>
          <w:lang w:val="hr-BA"/>
        </w:rPr>
      </w:pPr>
      <w:r w:rsidRPr="00D25ABB">
        <w:rPr>
          <w:b/>
          <w:lang w:val="hr-BA"/>
        </w:rPr>
        <w:t>FEDERACIJA BOSNE I HERCEGOVINE</w:t>
      </w:r>
    </w:p>
    <w:p w:rsidR="004C0B22" w:rsidRPr="00D25ABB" w:rsidRDefault="004C0B22" w:rsidP="004C0B22">
      <w:pPr>
        <w:rPr>
          <w:b/>
          <w:lang w:val="hr-BA"/>
        </w:rPr>
      </w:pPr>
      <w:r w:rsidRPr="00D25ABB">
        <w:rPr>
          <w:b/>
          <w:lang w:val="hr-BA"/>
        </w:rPr>
        <w:t>SREDNJOBOSASNKI KANTON</w:t>
      </w:r>
    </w:p>
    <w:p w:rsidR="004C0B22" w:rsidRPr="00D25ABB" w:rsidRDefault="004C0B22" w:rsidP="004C0B22">
      <w:pPr>
        <w:rPr>
          <w:b/>
          <w:lang w:val="hr-BA"/>
        </w:rPr>
      </w:pPr>
      <w:r w:rsidRPr="00D25ABB">
        <w:rPr>
          <w:b/>
          <w:lang w:val="hr-BA"/>
        </w:rPr>
        <w:t>OPĆINA BUGOJNO</w:t>
      </w:r>
    </w:p>
    <w:p w:rsidR="004C0B22" w:rsidRPr="00D25ABB" w:rsidRDefault="004C0B22" w:rsidP="004C0B22">
      <w:pPr>
        <w:rPr>
          <w:b/>
          <w:lang w:val="hr-BA"/>
        </w:rPr>
      </w:pPr>
      <w:r w:rsidRPr="00D25ABB">
        <w:rPr>
          <w:b/>
          <w:lang w:val="hr-BA"/>
        </w:rPr>
        <w:t>NAČELNIK OPĆINE</w:t>
      </w:r>
    </w:p>
    <w:p w:rsidR="004C0B22" w:rsidRPr="00D25ABB" w:rsidRDefault="004C0B22" w:rsidP="004C0B22">
      <w:pPr>
        <w:rPr>
          <w:b/>
          <w:lang w:val="hr-BA"/>
        </w:rPr>
      </w:pPr>
    </w:p>
    <w:tbl>
      <w:tblPr>
        <w:tblpPr w:leftFromText="180" w:rightFromText="180" w:vertAnchor="text" w:horzAnchor="margin" w:tblpY="138"/>
        <w:tblOverlap w:val="never"/>
        <w:tblW w:w="0" w:type="auto"/>
        <w:tblLook w:val="01E0" w:firstRow="1" w:lastRow="1" w:firstColumn="1" w:lastColumn="1" w:noHBand="0" w:noVBand="0"/>
      </w:tblPr>
      <w:tblGrid>
        <w:gridCol w:w="1908"/>
        <w:gridCol w:w="2880"/>
      </w:tblGrid>
      <w:tr w:rsidR="004C0B22" w:rsidRPr="00856DD1" w:rsidTr="00C26A7E">
        <w:tc>
          <w:tcPr>
            <w:tcW w:w="1908" w:type="dxa"/>
          </w:tcPr>
          <w:p w:rsidR="004C0B22" w:rsidRPr="00D25ABB" w:rsidRDefault="004C0B22" w:rsidP="00C26A7E">
            <w:pPr>
              <w:rPr>
                <w:b/>
              </w:rPr>
            </w:pPr>
            <w:r w:rsidRPr="00D25ABB">
              <w:rPr>
                <w:b/>
              </w:rPr>
              <w:t>Broj predmeta:</w:t>
            </w:r>
          </w:p>
        </w:tc>
        <w:tc>
          <w:tcPr>
            <w:tcW w:w="2880" w:type="dxa"/>
            <w:shd w:val="clear" w:color="auto" w:fill="FFFFFF"/>
          </w:tcPr>
          <w:p w:rsidR="004C0B22" w:rsidRPr="00D25ABB" w:rsidRDefault="004C0B22" w:rsidP="00C26A7E">
            <w:pPr>
              <w:rPr>
                <w:b/>
              </w:rPr>
            </w:pPr>
            <w:r w:rsidRPr="00D25ABB">
              <w:rPr>
                <w:b/>
                <w:lang w:val="hr-HR"/>
              </w:rPr>
              <w:fldChar w:fldCharType="begin">
                <w:ffData>
                  <w:name w:val="BrojPredmeta"/>
                  <w:enabled/>
                  <w:calcOnExit w:val="0"/>
                  <w:textInput>
                    <w:default w:val="03-44-02797-18"/>
                  </w:textInput>
                </w:ffData>
              </w:fldChar>
            </w:r>
            <w:r w:rsidRPr="00D25ABB">
              <w:rPr>
                <w:b/>
                <w:lang w:val="hr-HR"/>
              </w:rPr>
              <w:instrText xml:space="preserve"> FORMTEXT </w:instrText>
            </w:r>
            <w:r w:rsidRPr="00D25ABB">
              <w:rPr>
                <w:b/>
                <w:lang w:val="hr-HR"/>
              </w:rPr>
            </w:r>
            <w:r w:rsidRPr="00D25ABB">
              <w:rPr>
                <w:b/>
                <w:lang w:val="hr-HR"/>
              </w:rPr>
              <w:fldChar w:fldCharType="separate"/>
            </w:r>
            <w:r w:rsidRPr="00D25ABB">
              <w:rPr>
                <w:b/>
                <w:lang w:val="hr-HR"/>
              </w:rPr>
              <w:t>03-44-02797-18</w:t>
            </w:r>
            <w:r w:rsidRPr="00D25ABB">
              <w:rPr>
                <w:b/>
                <w:lang w:val="hr-HR"/>
              </w:rPr>
              <w:fldChar w:fldCharType="end"/>
            </w:r>
          </w:p>
        </w:tc>
      </w:tr>
      <w:tr w:rsidR="004C0B22" w:rsidRPr="00856DD1" w:rsidTr="00C26A7E">
        <w:tc>
          <w:tcPr>
            <w:tcW w:w="1908" w:type="dxa"/>
          </w:tcPr>
          <w:p w:rsidR="004C0B22" w:rsidRPr="00D25ABB" w:rsidRDefault="004C0B22" w:rsidP="00C26A7E">
            <w:pPr>
              <w:rPr>
                <w:b/>
              </w:rPr>
            </w:pPr>
            <w:r w:rsidRPr="00D25ABB">
              <w:rPr>
                <w:b/>
              </w:rPr>
              <w:t>Broj akta:</w:t>
            </w:r>
          </w:p>
        </w:tc>
        <w:tc>
          <w:tcPr>
            <w:tcW w:w="2880" w:type="dxa"/>
            <w:shd w:val="clear" w:color="auto" w:fill="auto"/>
          </w:tcPr>
          <w:p w:rsidR="004C0B22" w:rsidRPr="00D25ABB" w:rsidRDefault="00B1641F" w:rsidP="00C26A7E">
            <w:pPr>
              <w:rPr>
                <w:b/>
              </w:rPr>
            </w:pPr>
            <w:r>
              <w:rPr>
                <w:b/>
                <w:lang w:val="hr-HR"/>
              </w:rPr>
              <w:t>312MK-001</w:t>
            </w:r>
          </w:p>
        </w:tc>
      </w:tr>
      <w:tr w:rsidR="004C0B22" w:rsidRPr="00856DD1" w:rsidTr="00C26A7E">
        <w:tc>
          <w:tcPr>
            <w:tcW w:w="1908" w:type="dxa"/>
          </w:tcPr>
          <w:p w:rsidR="004C0B22" w:rsidRPr="00D25ABB" w:rsidRDefault="004C0B22" w:rsidP="00C26A7E">
            <w:pPr>
              <w:rPr>
                <w:b/>
              </w:rPr>
            </w:pPr>
            <w:r w:rsidRPr="00D25ABB">
              <w:rPr>
                <w:b/>
              </w:rPr>
              <w:t>Datum,</w:t>
            </w:r>
          </w:p>
        </w:tc>
        <w:tc>
          <w:tcPr>
            <w:tcW w:w="2880" w:type="dxa"/>
          </w:tcPr>
          <w:p w:rsidR="004C0B22" w:rsidRPr="00D25ABB" w:rsidRDefault="004C0B22" w:rsidP="00C26A7E">
            <w:pPr>
              <w:rPr>
                <w:b/>
              </w:rPr>
            </w:pPr>
            <w:r w:rsidRPr="00D25ABB">
              <w:rPr>
                <w:b/>
                <w:lang w:val="hr-HR"/>
              </w:rPr>
              <w:fldChar w:fldCharType="begin">
                <w:ffData>
                  <w:name w:val="Datum"/>
                  <w:enabled/>
                  <w:calcOnExit w:val="0"/>
                  <w:textInput>
                    <w:default w:val="25.05.2018."/>
                  </w:textInput>
                </w:ffData>
              </w:fldChar>
            </w:r>
            <w:r w:rsidRPr="00D25ABB">
              <w:rPr>
                <w:b/>
                <w:lang w:val="hr-HR"/>
              </w:rPr>
              <w:instrText xml:space="preserve"> FORMTEXT </w:instrText>
            </w:r>
            <w:r w:rsidRPr="00D25ABB">
              <w:rPr>
                <w:b/>
                <w:lang w:val="hr-HR"/>
              </w:rPr>
            </w:r>
            <w:r w:rsidRPr="00D25ABB">
              <w:rPr>
                <w:b/>
                <w:lang w:val="hr-HR"/>
              </w:rPr>
              <w:fldChar w:fldCharType="separate"/>
            </w:r>
            <w:r w:rsidRPr="00D25ABB">
              <w:rPr>
                <w:b/>
                <w:lang w:val="hr-HR"/>
              </w:rPr>
              <w:t>25.05.2018.</w:t>
            </w:r>
            <w:r w:rsidRPr="00D25ABB">
              <w:rPr>
                <w:b/>
                <w:lang w:val="hr-HR"/>
              </w:rPr>
              <w:fldChar w:fldCharType="end"/>
            </w:r>
            <w:r w:rsidRPr="00D25ABB">
              <w:rPr>
                <w:b/>
                <w:lang w:val="hr-HR"/>
              </w:rPr>
              <w:t xml:space="preserve"> godine</w:t>
            </w:r>
          </w:p>
        </w:tc>
      </w:tr>
      <w:tr w:rsidR="004C0B22" w:rsidRPr="00856DD1" w:rsidTr="00C26A7E">
        <w:tc>
          <w:tcPr>
            <w:tcW w:w="1908" w:type="dxa"/>
          </w:tcPr>
          <w:p w:rsidR="004C0B22" w:rsidRPr="00D25ABB" w:rsidRDefault="004C0B22" w:rsidP="00C26A7E">
            <w:pPr>
              <w:rPr>
                <w:b/>
              </w:rPr>
            </w:pPr>
            <w:r w:rsidRPr="00D25ABB">
              <w:rPr>
                <w:b/>
              </w:rPr>
              <w:t>Mjesto,</w:t>
            </w:r>
          </w:p>
        </w:tc>
        <w:tc>
          <w:tcPr>
            <w:tcW w:w="2880" w:type="dxa"/>
          </w:tcPr>
          <w:p w:rsidR="004C0B22" w:rsidRPr="00D25ABB" w:rsidRDefault="004C0B22" w:rsidP="00C26A7E">
            <w:pPr>
              <w:rPr>
                <w:b/>
              </w:rPr>
            </w:pPr>
            <w:r w:rsidRPr="00D25ABB">
              <w:rPr>
                <w:b/>
              </w:rPr>
              <w:t>Bugojno</w:t>
            </w:r>
          </w:p>
        </w:tc>
      </w:tr>
    </w:tbl>
    <w:p w:rsidR="004C0B22" w:rsidRPr="00D25ABB" w:rsidRDefault="004C0B22" w:rsidP="004C0B22">
      <w:pPr>
        <w:rPr>
          <w:b/>
          <w:lang w:val="hr-BA"/>
        </w:rPr>
      </w:pPr>
    </w:p>
    <w:p w:rsidR="004C0B22" w:rsidRPr="00D25ABB" w:rsidRDefault="004C0B22" w:rsidP="004C0B22">
      <w:r w:rsidRPr="00D25ABB">
        <w:br w:type="textWrapping" w:clear="all"/>
      </w:r>
    </w:p>
    <w:p w:rsidR="004C0B22" w:rsidRPr="00D25ABB" w:rsidRDefault="004C0B22" w:rsidP="004C0B22">
      <w:pPr>
        <w:jc w:val="both"/>
      </w:pPr>
      <w:r w:rsidRPr="00D25ABB">
        <w:t>Na osnovu člana 40. Statuta općine Bugojno („Službene novine općine Bugojno“, broj: 7/07,  2/08 i 6/11) i člana 7. stav 2. tačka 3. Uredbe o jedinstvenoj metodologiji za procjenu šteta od prirodnih i drugih nesreća („Službene novine Federacije BiH“, broj: 75/04 i 38/06, 52/09 i 56/09), na prijedlog Službe za civilnu zaštitu Općine Bugojno, načelnik Općine d o n o s i</w:t>
      </w:r>
    </w:p>
    <w:p w:rsidR="004C0B22" w:rsidRPr="00D25ABB" w:rsidRDefault="004C0B22" w:rsidP="004C0B22">
      <w:pPr>
        <w:ind w:firstLine="708"/>
        <w:jc w:val="both"/>
      </w:pPr>
    </w:p>
    <w:p w:rsidR="004C0B22" w:rsidRPr="00D25ABB" w:rsidRDefault="004C0B22" w:rsidP="004C0B22">
      <w:pPr>
        <w:ind w:firstLine="708"/>
        <w:jc w:val="both"/>
      </w:pPr>
    </w:p>
    <w:p w:rsidR="004C0B22" w:rsidRPr="00D25ABB" w:rsidRDefault="004C0B22" w:rsidP="004C0B22">
      <w:pPr>
        <w:jc w:val="center"/>
        <w:rPr>
          <w:rFonts w:eastAsia="Calibri"/>
          <w:b/>
          <w:lang w:val="hr-HR" w:eastAsia="en-US"/>
        </w:rPr>
      </w:pPr>
      <w:r w:rsidRPr="00D25ABB">
        <w:rPr>
          <w:rFonts w:eastAsia="Calibri"/>
          <w:b/>
          <w:lang w:val="hr-HR" w:eastAsia="en-US"/>
        </w:rPr>
        <w:t>RJEŠENJE</w:t>
      </w:r>
    </w:p>
    <w:p w:rsidR="004C0B22" w:rsidRPr="00D25ABB" w:rsidRDefault="004C0B22" w:rsidP="004C0B22">
      <w:pPr>
        <w:jc w:val="center"/>
        <w:rPr>
          <w:rFonts w:eastAsia="Calibri"/>
          <w:b/>
          <w:lang w:val="hr-HR" w:eastAsia="en-US"/>
        </w:rPr>
      </w:pPr>
      <w:r w:rsidRPr="00D25ABB">
        <w:rPr>
          <w:rFonts w:eastAsia="Calibri"/>
          <w:b/>
          <w:lang w:val="hr-HR" w:eastAsia="en-US"/>
        </w:rPr>
        <w:t xml:space="preserve">o imenovanju Komisije za procjenu šteta </w:t>
      </w:r>
    </w:p>
    <w:p w:rsidR="004C0B22" w:rsidRPr="00D25ABB" w:rsidRDefault="004C0B22" w:rsidP="004C0B22">
      <w:pPr>
        <w:jc w:val="center"/>
        <w:rPr>
          <w:rFonts w:eastAsia="Calibri"/>
          <w:b/>
          <w:lang w:val="hr-HR" w:eastAsia="en-US"/>
        </w:rPr>
      </w:pPr>
      <w:r w:rsidRPr="00D25ABB">
        <w:rPr>
          <w:rFonts w:eastAsia="Calibri"/>
          <w:b/>
          <w:lang w:val="hr-HR" w:eastAsia="en-US"/>
        </w:rPr>
        <w:t>od prirodnih i drugih nesreća na području općine Bugojno</w:t>
      </w:r>
    </w:p>
    <w:p w:rsidR="004C0B22" w:rsidRPr="00D25ABB" w:rsidRDefault="004C0B22" w:rsidP="004C0B22">
      <w:pPr>
        <w:jc w:val="center"/>
      </w:pPr>
    </w:p>
    <w:p w:rsidR="004C0B22" w:rsidRPr="00D25ABB" w:rsidRDefault="004C0B22" w:rsidP="004C0B22">
      <w:pPr>
        <w:jc w:val="center"/>
        <w:rPr>
          <w:b/>
        </w:rPr>
      </w:pPr>
      <w:r w:rsidRPr="00D25ABB">
        <w:rPr>
          <w:b/>
        </w:rPr>
        <w:t>I.</w:t>
      </w:r>
    </w:p>
    <w:p w:rsidR="004C0B22" w:rsidRPr="00D25ABB" w:rsidRDefault="004C0B22" w:rsidP="004C0B22">
      <w:pPr>
        <w:jc w:val="center"/>
      </w:pPr>
    </w:p>
    <w:p w:rsidR="004C0B22" w:rsidRPr="00D25ABB" w:rsidRDefault="004C0B22" w:rsidP="004C0B22">
      <w:pPr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U Komisiju za procjenu šteta od prirodnih i drugih nesreća imenuju se:</w:t>
      </w:r>
    </w:p>
    <w:p w:rsidR="004C0B22" w:rsidRPr="00D25ABB" w:rsidRDefault="004C0B22" w:rsidP="004C0B22">
      <w:pPr>
        <w:jc w:val="both"/>
        <w:rPr>
          <w:rFonts w:eastAsia="Calibri"/>
          <w:lang w:val="hr-HR" w:eastAsia="en-US"/>
        </w:rPr>
      </w:pPr>
    </w:p>
    <w:p w:rsidR="004C0B22" w:rsidRDefault="004C0B22" w:rsidP="004C0B2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0C4E35">
        <w:rPr>
          <w:rFonts w:eastAsia="Calibri"/>
          <w:b/>
          <w:lang w:val="hr-HR" w:eastAsia="en-US"/>
        </w:rPr>
        <w:t xml:space="preserve">Mujo Mikara, </w:t>
      </w:r>
      <w:r>
        <w:rPr>
          <w:rFonts w:eastAsia="Calibri"/>
          <w:lang w:val="hr-HR" w:eastAsia="en-US"/>
        </w:rPr>
        <w:t>prof.</w:t>
      </w:r>
      <w:r w:rsidRPr="00D25ABB">
        <w:rPr>
          <w:rFonts w:eastAsia="Calibri"/>
          <w:lang w:val="hr-HR" w:eastAsia="en-US"/>
        </w:rPr>
        <w:t xml:space="preserve">................................ </w:t>
      </w:r>
      <w:r>
        <w:rPr>
          <w:rFonts w:eastAsia="Calibri"/>
          <w:lang w:val="hr-HR" w:eastAsia="en-US"/>
        </w:rPr>
        <w:t>...............</w:t>
      </w:r>
      <w:r w:rsidRPr="00D25ABB">
        <w:rPr>
          <w:rFonts w:eastAsia="Calibri"/>
          <w:lang w:val="hr-HR" w:eastAsia="en-US"/>
        </w:rPr>
        <w:t>predsjednik Komisije</w:t>
      </w:r>
    </w:p>
    <w:p w:rsidR="004C0B22" w:rsidRPr="00D25ABB" w:rsidRDefault="004C0B22" w:rsidP="004C0B2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0C4E35">
        <w:rPr>
          <w:rFonts w:eastAsia="Calibri"/>
          <w:b/>
          <w:lang w:val="hr-HR" w:eastAsia="en-US"/>
        </w:rPr>
        <w:t>Emina Duvnjak</w:t>
      </w:r>
      <w:r w:rsidRPr="00D25ABB">
        <w:rPr>
          <w:rFonts w:eastAsia="Calibri"/>
          <w:lang w:val="hr-HR" w:eastAsia="en-US"/>
        </w:rPr>
        <w:t>, dipl.ing.geodezije ....................</w:t>
      </w:r>
      <w:r>
        <w:rPr>
          <w:rFonts w:eastAsia="Calibri"/>
          <w:lang w:val="hr-HR" w:eastAsia="en-US"/>
        </w:rPr>
        <w:t>.</w:t>
      </w:r>
      <w:r w:rsidRPr="00D25ABB">
        <w:rPr>
          <w:rFonts w:eastAsia="Calibri"/>
          <w:lang w:val="hr-HR" w:eastAsia="en-US"/>
        </w:rPr>
        <w:t xml:space="preserve"> član Komisije</w:t>
      </w:r>
    </w:p>
    <w:p w:rsidR="004C0B22" w:rsidRPr="00D25ABB" w:rsidRDefault="004C0B22" w:rsidP="004C0B2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0C4E35">
        <w:rPr>
          <w:rFonts w:eastAsia="Calibri"/>
          <w:b/>
          <w:lang w:val="hr-HR" w:eastAsia="en-US"/>
        </w:rPr>
        <w:t>Svjetlana Vujović-Kico</w:t>
      </w:r>
      <w:r w:rsidRPr="00D25ABB">
        <w:rPr>
          <w:rFonts w:eastAsia="Calibri"/>
          <w:lang w:val="hr-HR" w:eastAsia="en-US"/>
        </w:rPr>
        <w:t>, dipl.ecc........................</w:t>
      </w:r>
      <w:r>
        <w:rPr>
          <w:rFonts w:eastAsia="Calibri"/>
          <w:lang w:val="hr-HR" w:eastAsia="en-US"/>
        </w:rPr>
        <w:t>.</w:t>
      </w:r>
      <w:r w:rsidRPr="00D25ABB">
        <w:rPr>
          <w:rFonts w:eastAsia="Calibri"/>
          <w:lang w:val="hr-HR" w:eastAsia="en-US"/>
        </w:rPr>
        <w:t xml:space="preserve"> član Komisije</w:t>
      </w:r>
    </w:p>
    <w:p w:rsidR="004C0B22" w:rsidRPr="00D25ABB" w:rsidRDefault="004C0B22" w:rsidP="004C0B2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0C4E35">
        <w:rPr>
          <w:rFonts w:eastAsia="Calibri"/>
          <w:b/>
          <w:lang w:val="hr-HR" w:eastAsia="en-US"/>
        </w:rPr>
        <w:t>Senada Čolić</w:t>
      </w:r>
      <w:r w:rsidRPr="00D25ABB">
        <w:rPr>
          <w:rFonts w:eastAsia="Calibri"/>
          <w:lang w:val="hr-HR" w:eastAsia="en-US"/>
        </w:rPr>
        <w:t>, dipl.ing.poljoprivrede  .................</w:t>
      </w:r>
      <w:r>
        <w:rPr>
          <w:rFonts w:eastAsia="Calibri"/>
          <w:lang w:val="hr-HR" w:eastAsia="en-US"/>
        </w:rPr>
        <w:t>.</w:t>
      </w:r>
      <w:r w:rsidRPr="00D25ABB">
        <w:rPr>
          <w:rFonts w:eastAsia="Calibri"/>
          <w:lang w:val="hr-HR" w:eastAsia="en-US"/>
        </w:rPr>
        <w:t xml:space="preserve"> član Komisije</w:t>
      </w:r>
    </w:p>
    <w:p w:rsidR="004C0B22" w:rsidRPr="00D25ABB" w:rsidRDefault="004C0B22" w:rsidP="004C0B2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0C4E35">
        <w:rPr>
          <w:rFonts w:eastAsia="Calibri"/>
          <w:b/>
          <w:lang w:val="hr-HR" w:eastAsia="en-US"/>
        </w:rPr>
        <w:t>Ivica Čelina</w:t>
      </w:r>
      <w:r>
        <w:rPr>
          <w:rFonts w:eastAsia="Calibri"/>
          <w:lang w:val="hr-HR" w:eastAsia="en-US"/>
        </w:rPr>
        <w:t>, građ.tehničar.....................................članKomisije</w:t>
      </w:r>
    </w:p>
    <w:p w:rsidR="004C0B22" w:rsidRPr="00D25ABB" w:rsidRDefault="004C0B22" w:rsidP="004C0B2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0C4E35">
        <w:rPr>
          <w:rFonts w:eastAsia="Calibri"/>
          <w:b/>
          <w:lang w:val="hr-HR" w:eastAsia="en-US"/>
        </w:rPr>
        <w:t>Abduselam Kico</w:t>
      </w:r>
      <w:r>
        <w:rPr>
          <w:rFonts w:eastAsia="Calibri"/>
          <w:lang w:val="hr-HR" w:eastAsia="en-US"/>
        </w:rPr>
        <w:t>, rudarski tehničar</w:t>
      </w:r>
      <w:r w:rsidRPr="00D25ABB">
        <w:rPr>
          <w:rFonts w:eastAsia="Calibri"/>
          <w:lang w:val="hr-HR" w:eastAsia="en-US"/>
        </w:rPr>
        <w:t xml:space="preserve"> .</w:t>
      </w:r>
      <w:r>
        <w:rPr>
          <w:rFonts w:eastAsia="Calibri"/>
          <w:lang w:val="hr-HR" w:eastAsia="en-US"/>
        </w:rPr>
        <w:t>.....................</w:t>
      </w:r>
      <w:r w:rsidRPr="00D25ABB">
        <w:rPr>
          <w:rFonts w:eastAsia="Calibri"/>
          <w:lang w:val="hr-HR" w:eastAsia="en-US"/>
        </w:rPr>
        <w:t>član Komisije</w:t>
      </w:r>
    </w:p>
    <w:p w:rsidR="004C0B22" w:rsidRPr="00D25ABB" w:rsidRDefault="004C0B22" w:rsidP="004C0B2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0C4E35">
        <w:rPr>
          <w:rFonts w:eastAsia="Calibri"/>
          <w:b/>
          <w:lang w:val="hr-HR" w:eastAsia="en-US"/>
        </w:rPr>
        <w:t>Sirija Horozović</w:t>
      </w:r>
      <w:r w:rsidRPr="00D25ABB">
        <w:rPr>
          <w:rFonts w:eastAsia="Calibri"/>
          <w:lang w:val="hr-HR" w:eastAsia="en-US"/>
        </w:rPr>
        <w:t xml:space="preserve"> ..................................................</w:t>
      </w:r>
      <w:r>
        <w:rPr>
          <w:rFonts w:eastAsia="Calibri"/>
          <w:lang w:val="hr-HR" w:eastAsia="en-US"/>
        </w:rPr>
        <w:t>.</w:t>
      </w:r>
      <w:r w:rsidRPr="00D25ABB">
        <w:rPr>
          <w:rFonts w:eastAsia="Calibri"/>
          <w:lang w:val="hr-HR" w:eastAsia="en-US"/>
        </w:rPr>
        <w:t xml:space="preserve">.viši referent </w:t>
      </w: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za obavljanje administrativno-tehničkih poslova za potrebe Komisije</w:t>
      </w:r>
    </w:p>
    <w:p w:rsidR="004C0B22" w:rsidRPr="00D25ABB" w:rsidRDefault="004C0B22" w:rsidP="004C0B22">
      <w:pPr>
        <w:ind w:left="36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jc w:val="center"/>
        <w:rPr>
          <w:rFonts w:eastAsia="Calibri"/>
          <w:b/>
          <w:lang w:val="hr-HR" w:eastAsia="en-US"/>
        </w:rPr>
      </w:pPr>
      <w:r w:rsidRPr="00D25ABB">
        <w:rPr>
          <w:rFonts w:eastAsia="Calibri"/>
          <w:b/>
          <w:lang w:val="hr-HR" w:eastAsia="en-US"/>
        </w:rPr>
        <w:t>II.</w:t>
      </w:r>
    </w:p>
    <w:p w:rsidR="004C0B22" w:rsidRPr="00D25ABB" w:rsidRDefault="004C0B22" w:rsidP="004C0B22">
      <w:pPr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Zadaci Komisije su sljedeći:</w:t>
      </w:r>
    </w:p>
    <w:p w:rsidR="004C0B22" w:rsidRPr="00D25ABB" w:rsidRDefault="004C0B22" w:rsidP="004C0B22">
      <w:pPr>
        <w:jc w:val="both"/>
        <w:rPr>
          <w:rFonts w:eastAsia="Calibri"/>
          <w:lang w:val="hr-HR" w:eastAsia="en-US"/>
        </w:rPr>
      </w:pPr>
    </w:p>
    <w:p w:rsidR="004C0B22" w:rsidRDefault="004C0B22" w:rsidP="004C0B22">
      <w:pPr>
        <w:numPr>
          <w:ilvl w:val="0"/>
          <w:numId w:val="2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osniva potreban broj stručnih komisija za procjenu šteta (u daljem tekstu: stručna  komisija) i svakoj toj komisiji određuje područje na kojem će  vršiti procjenu šteta, a prema potrebi, naročito kada se radi o manjim štetama, i sama neposredno vrši poslove procjene štete,</w:t>
      </w:r>
    </w:p>
    <w:p w:rsidR="004C0B22" w:rsidRDefault="004C0B22" w:rsidP="004C0B22">
      <w:pPr>
        <w:spacing w:after="200" w:line="276" w:lineRule="auto"/>
        <w:jc w:val="both"/>
        <w:rPr>
          <w:rFonts w:eastAsia="Calibri"/>
          <w:lang w:val="hr-HR" w:eastAsia="en-US"/>
        </w:rPr>
      </w:pPr>
    </w:p>
    <w:p w:rsidR="004C0B22" w:rsidRDefault="004C0B22" w:rsidP="004C0B22">
      <w:pPr>
        <w:pStyle w:val="ListParagraph"/>
        <w:rPr>
          <w:rFonts w:eastAsia="Calibri"/>
          <w:lang w:val="hr-HR" w:eastAsia="en-US"/>
        </w:rPr>
      </w:pPr>
    </w:p>
    <w:p w:rsidR="004C0B22" w:rsidRDefault="004C0B22" w:rsidP="004C0B22">
      <w:pPr>
        <w:spacing w:after="200" w:line="276" w:lineRule="auto"/>
        <w:ind w:left="72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numPr>
          <w:ilvl w:val="0"/>
          <w:numId w:val="2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određuje rok do kojega se mora završiti procjena šteta,</w:t>
      </w:r>
    </w:p>
    <w:p w:rsidR="004C0B22" w:rsidRPr="00D25ABB" w:rsidRDefault="004C0B22" w:rsidP="004C0B22">
      <w:pPr>
        <w:numPr>
          <w:ilvl w:val="0"/>
          <w:numId w:val="2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brine o pravilnoj primjeni Uredbe,</w:t>
      </w:r>
    </w:p>
    <w:p w:rsidR="004C0B22" w:rsidRPr="00D25ABB" w:rsidRDefault="004C0B22" w:rsidP="004C0B22">
      <w:pPr>
        <w:numPr>
          <w:ilvl w:val="0"/>
          <w:numId w:val="2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objedinjava rad svih stručnih komisija na području općine i tim komisijama pruža potrebnu stručnu pomoć,</w:t>
      </w:r>
    </w:p>
    <w:p w:rsidR="004C0B22" w:rsidRPr="00D25ABB" w:rsidRDefault="004C0B22" w:rsidP="004C0B22">
      <w:pPr>
        <w:numPr>
          <w:ilvl w:val="0"/>
          <w:numId w:val="2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izrađuje zbirni izvještaj o procjenjenim štetama na području općine i dostavlja ga načelniku Općine na razmatranje,</w:t>
      </w:r>
    </w:p>
    <w:p w:rsidR="004C0B22" w:rsidRPr="00D25ABB" w:rsidRDefault="004C0B22" w:rsidP="004C0B22">
      <w:pPr>
        <w:numPr>
          <w:ilvl w:val="0"/>
          <w:numId w:val="2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izvještaj usvojen od Općinskog vijeća, dostavlja Federalnom zavodu u roku od 15 dana od dana usvajanja, a jedan primjerak izvještaja dostavlja Kantonalnoj komisiji,</w:t>
      </w: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numPr>
          <w:ilvl w:val="0"/>
          <w:numId w:val="2"/>
        </w:numPr>
        <w:spacing w:after="200" w:line="276" w:lineRule="auto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prati korištenje sredstava koja su dodjeljena za saniranje i otklanjanje posljedica koje su nastale od prirodne ili druge nesreće i o tome izvještava načelnika Općine.</w:t>
      </w: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ind w:left="720"/>
        <w:jc w:val="center"/>
        <w:rPr>
          <w:rFonts w:eastAsia="Calibri"/>
          <w:b/>
          <w:lang w:val="hr-HR" w:eastAsia="en-US"/>
        </w:rPr>
      </w:pPr>
      <w:r w:rsidRPr="00D25ABB">
        <w:rPr>
          <w:rFonts w:eastAsia="Calibri"/>
          <w:b/>
          <w:lang w:val="hr-HR" w:eastAsia="en-US"/>
        </w:rPr>
        <w:t>III.</w:t>
      </w:r>
    </w:p>
    <w:p w:rsidR="004C0B22" w:rsidRPr="00D25ABB" w:rsidRDefault="004C0B22" w:rsidP="004C0B22">
      <w:pPr>
        <w:ind w:left="720"/>
        <w:jc w:val="center"/>
        <w:rPr>
          <w:rFonts w:eastAsia="Calibri"/>
          <w:lang w:val="hr-HR" w:eastAsia="en-US"/>
        </w:rPr>
      </w:pP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Komisija se imenuje na period od četiri godine.</w:t>
      </w: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jc w:val="center"/>
        <w:rPr>
          <w:rFonts w:eastAsia="Calibri"/>
          <w:b/>
          <w:lang w:val="hr-HR" w:eastAsia="en-US"/>
        </w:rPr>
      </w:pPr>
      <w:r w:rsidRPr="00D25ABB">
        <w:rPr>
          <w:rFonts w:eastAsia="Calibri"/>
          <w:b/>
          <w:lang w:val="hr-HR" w:eastAsia="en-US"/>
        </w:rPr>
        <w:t xml:space="preserve">            IV.</w:t>
      </w: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U sastav Komisije mogu se, ako se za to ukaže potreba, imenovati i druge stručne osobe iz odgovarajućih oblasti, sa svim pravima i obavezama kao i članovi Komisije iz člana I. ovog Rješenja.</w:t>
      </w: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ind w:left="720"/>
        <w:jc w:val="center"/>
        <w:rPr>
          <w:rFonts w:eastAsia="Calibri"/>
          <w:b/>
          <w:lang w:val="hr-HR" w:eastAsia="en-US"/>
        </w:rPr>
      </w:pPr>
      <w:r w:rsidRPr="00D25ABB">
        <w:rPr>
          <w:rFonts w:eastAsia="Calibri"/>
          <w:b/>
          <w:lang w:val="hr-HR" w:eastAsia="en-US"/>
        </w:rPr>
        <w:t>V.</w:t>
      </w: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Služba za civilnu zaštitu Općine Bugojno osigurat će odgovarajuća materijalno-tehnička sredstva, kao i prostor gdje će komisija obavljati administrativne i druge poslove nakon prikupljanja podataka o procjeni šteta.</w:t>
      </w:r>
    </w:p>
    <w:p w:rsidR="004C0B22" w:rsidRPr="00D25ABB" w:rsidRDefault="004C0B22" w:rsidP="004C0B22">
      <w:pPr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ind w:left="720"/>
        <w:jc w:val="center"/>
        <w:rPr>
          <w:rFonts w:eastAsia="Calibri"/>
          <w:b/>
          <w:lang w:val="hr-HR" w:eastAsia="en-US"/>
        </w:rPr>
      </w:pPr>
      <w:r w:rsidRPr="00D25ABB">
        <w:rPr>
          <w:rFonts w:eastAsia="Calibri"/>
          <w:b/>
          <w:lang w:val="hr-HR" w:eastAsia="en-US"/>
        </w:rPr>
        <w:t>VI.</w:t>
      </w: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Komisija za procjenu šteta od prirodnih i drugih nesreća aktivira se kada najmanje jedna mjesna zajednica u općini Bugojno proglasi stanje prirodne ili druge nesreće,a njihov rad u ovom slučaju se završava sa danom dostavljanja zbirnog izvještaja načelniku Općine na razmatranje.</w:t>
      </w: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ind w:left="720"/>
        <w:jc w:val="center"/>
        <w:rPr>
          <w:rFonts w:eastAsia="Calibri"/>
          <w:b/>
          <w:lang w:val="hr-HR" w:eastAsia="en-US"/>
        </w:rPr>
      </w:pPr>
      <w:r w:rsidRPr="00D25ABB">
        <w:rPr>
          <w:rFonts w:eastAsia="Calibri"/>
          <w:b/>
          <w:lang w:val="hr-HR" w:eastAsia="en-US"/>
        </w:rPr>
        <w:t>VII.</w:t>
      </w: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Nakon podnesenog zbirnog izvještaja Općinskom vijeću i završetka aktivnosti iz člana 6. stav 1. Rješenja, predsjedniku, članovima Komisije, državnim službenicima i namještenicima koji budu obavljali stručne i administrativne poslove za potrebe Komisije, pripada naknada u vrijeme angažiranja čiju visinu posebnom odlukom utvrđuje načelnik Općine.</w:t>
      </w:r>
    </w:p>
    <w:p w:rsidR="004C0B22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B1641F" w:rsidRDefault="00B1641F" w:rsidP="004C0B22">
      <w:pPr>
        <w:ind w:left="720"/>
        <w:jc w:val="both"/>
        <w:rPr>
          <w:rFonts w:eastAsia="Calibri"/>
          <w:lang w:val="hr-HR" w:eastAsia="en-US"/>
        </w:rPr>
      </w:pPr>
    </w:p>
    <w:p w:rsidR="00B1641F" w:rsidRDefault="00B1641F" w:rsidP="004C0B22">
      <w:pPr>
        <w:ind w:left="720"/>
        <w:jc w:val="both"/>
        <w:rPr>
          <w:rFonts w:eastAsia="Calibri"/>
          <w:lang w:val="hr-HR" w:eastAsia="en-US"/>
        </w:rPr>
      </w:pPr>
    </w:p>
    <w:p w:rsidR="00B1641F" w:rsidRPr="00D25ABB" w:rsidRDefault="00B1641F" w:rsidP="004C0B22">
      <w:pPr>
        <w:ind w:left="720"/>
        <w:jc w:val="both"/>
        <w:rPr>
          <w:rFonts w:eastAsia="Calibri"/>
          <w:lang w:val="hr-HR" w:eastAsia="en-US"/>
        </w:rPr>
      </w:pPr>
      <w:bookmarkStart w:id="0" w:name="_GoBack"/>
      <w:bookmarkEnd w:id="0"/>
    </w:p>
    <w:p w:rsidR="004C0B22" w:rsidRPr="00D25ABB" w:rsidRDefault="004C0B22" w:rsidP="004C0B22">
      <w:pPr>
        <w:ind w:left="720"/>
        <w:jc w:val="center"/>
        <w:rPr>
          <w:rFonts w:eastAsia="Calibri"/>
          <w:b/>
          <w:lang w:val="hr-HR" w:eastAsia="en-US"/>
        </w:rPr>
      </w:pPr>
      <w:r w:rsidRPr="00D25ABB">
        <w:rPr>
          <w:rFonts w:eastAsia="Calibri"/>
          <w:b/>
          <w:lang w:val="hr-HR" w:eastAsia="en-US"/>
        </w:rPr>
        <w:t>VIII.</w:t>
      </w: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Zbirni izvještaj usvojen od Općinskog vijeća dostavlja se Federalnom zavodu u roku od 15 dana od dana usvajanja, a jedan primjerak zbirnog izvještaja dostavlja se Kantonalnoj komisiji za procjenu šteta.</w:t>
      </w:r>
    </w:p>
    <w:p w:rsidR="004C0B22" w:rsidRDefault="004C0B22" w:rsidP="004C0B22">
      <w:pPr>
        <w:ind w:left="720"/>
        <w:jc w:val="center"/>
        <w:rPr>
          <w:rFonts w:eastAsia="Calibri"/>
          <w:b/>
          <w:lang w:val="hr-HR" w:eastAsia="en-US"/>
        </w:rPr>
      </w:pPr>
    </w:p>
    <w:p w:rsidR="004C0B22" w:rsidRDefault="004C0B22" w:rsidP="004C0B22">
      <w:pPr>
        <w:rPr>
          <w:rFonts w:eastAsia="Calibri"/>
          <w:b/>
          <w:lang w:val="hr-HR" w:eastAsia="en-US"/>
        </w:rPr>
      </w:pPr>
    </w:p>
    <w:p w:rsidR="004C0B22" w:rsidRPr="00D25ABB" w:rsidRDefault="004C0B22" w:rsidP="004C0B22">
      <w:pPr>
        <w:ind w:left="720"/>
        <w:jc w:val="center"/>
        <w:rPr>
          <w:rFonts w:eastAsia="Calibri"/>
          <w:b/>
          <w:lang w:val="hr-HR" w:eastAsia="en-US"/>
        </w:rPr>
      </w:pPr>
      <w:r w:rsidRPr="00D25ABB">
        <w:rPr>
          <w:rFonts w:eastAsia="Calibri"/>
          <w:b/>
          <w:lang w:val="hr-HR" w:eastAsia="en-US"/>
        </w:rPr>
        <w:t>IX.</w:t>
      </w:r>
    </w:p>
    <w:p w:rsidR="004C0B22" w:rsidRPr="00D25ABB" w:rsidRDefault="004C0B22" w:rsidP="004C0B22">
      <w:pPr>
        <w:ind w:left="720"/>
        <w:rPr>
          <w:rFonts w:eastAsia="Calibri"/>
          <w:lang w:val="hr-HR" w:eastAsia="en-US"/>
        </w:rPr>
      </w:pP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 xml:space="preserve">Stupanjem na snagu ovog Rješenja prestaje da </w:t>
      </w:r>
      <w:r>
        <w:rPr>
          <w:rFonts w:eastAsia="Calibri"/>
          <w:lang w:val="hr-HR" w:eastAsia="en-US"/>
        </w:rPr>
        <w:t xml:space="preserve">važi Rješenje, broj: 01-44-00114-14 od 07.03.2014. </w:t>
      </w:r>
      <w:r w:rsidRPr="00D25ABB">
        <w:rPr>
          <w:rFonts w:eastAsia="Calibri"/>
          <w:lang w:val="hr-HR" w:eastAsia="en-US"/>
        </w:rPr>
        <w:t xml:space="preserve"> godine.</w:t>
      </w:r>
    </w:p>
    <w:p w:rsidR="004C0B22" w:rsidRPr="00D25ABB" w:rsidRDefault="004C0B22" w:rsidP="004C0B22">
      <w:pPr>
        <w:ind w:left="720"/>
        <w:jc w:val="center"/>
        <w:rPr>
          <w:rFonts w:eastAsia="Calibri"/>
          <w:b/>
          <w:lang w:val="hr-HR" w:eastAsia="en-US"/>
        </w:rPr>
      </w:pPr>
      <w:r w:rsidRPr="00D25ABB">
        <w:rPr>
          <w:rFonts w:eastAsia="Calibri"/>
          <w:b/>
          <w:lang w:val="hr-HR" w:eastAsia="en-US"/>
        </w:rPr>
        <w:t>X.</w:t>
      </w: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4C0B22" w:rsidRPr="00D25ABB" w:rsidRDefault="004C0B22" w:rsidP="004C0B22">
      <w:pPr>
        <w:ind w:left="720"/>
        <w:jc w:val="both"/>
        <w:rPr>
          <w:rFonts w:eastAsia="Calibri"/>
          <w:lang w:val="hr-HR" w:eastAsia="en-US"/>
        </w:rPr>
      </w:pPr>
      <w:r w:rsidRPr="00D25ABB">
        <w:rPr>
          <w:rFonts w:eastAsia="Calibri"/>
          <w:lang w:val="hr-HR" w:eastAsia="en-US"/>
        </w:rPr>
        <w:t>Ovo Rješenje objavit će se u „Službenim novinama Općine Bugojno“.</w:t>
      </w:r>
    </w:p>
    <w:p w:rsidR="004C0B22" w:rsidRPr="00D25ABB" w:rsidRDefault="004C0B22" w:rsidP="004C0B22">
      <w:pPr>
        <w:jc w:val="both"/>
        <w:rPr>
          <w:rFonts w:eastAsia="Calibri"/>
          <w:lang w:val="hr-HR" w:eastAsia="en-US"/>
        </w:rPr>
      </w:pPr>
    </w:p>
    <w:p w:rsidR="004C0B22" w:rsidRDefault="004C0B22" w:rsidP="004C0B22">
      <w:pPr>
        <w:ind w:left="720"/>
        <w:jc w:val="both"/>
        <w:rPr>
          <w:rFonts w:eastAsia="Calibri"/>
          <w:lang w:val="hr-HR" w:eastAsia="en-US"/>
        </w:rPr>
      </w:pPr>
    </w:p>
    <w:p w:rsidR="00B1641F" w:rsidRDefault="00B1641F" w:rsidP="004C0B22">
      <w:pPr>
        <w:ind w:left="720"/>
        <w:jc w:val="both"/>
        <w:rPr>
          <w:rFonts w:eastAsia="Calibri"/>
          <w:lang w:val="hr-HR" w:eastAsia="en-US"/>
        </w:rPr>
      </w:pPr>
    </w:p>
    <w:p w:rsidR="00B1641F" w:rsidRDefault="00B1641F" w:rsidP="004C0B22">
      <w:pPr>
        <w:ind w:left="720"/>
        <w:jc w:val="both"/>
        <w:rPr>
          <w:rFonts w:eastAsia="Calibri"/>
          <w:lang w:val="hr-HR" w:eastAsia="en-US"/>
        </w:rPr>
      </w:pPr>
    </w:p>
    <w:p w:rsidR="00B1641F" w:rsidRDefault="00B1641F" w:rsidP="004C0B22">
      <w:pPr>
        <w:ind w:left="720"/>
        <w:jc w:val="both"/>
        <w:rPr>
          <w:rFonts w:eastAsia="Calibri"/>
          <w:lang w:val="hr-HR" w:eastAsia="en-US"/>
        </w:rPr>
      </w:pPr>
    </w:p>
    <w:p w:rsidR="00B1641F" w:rsidRPr="00B1641F" w:rsidRDefault="00B1641F" w:rsidP="004C0B22">
      <w:pPr>
        <w:ind w:left="720"/>
        <w:jc w:val="both"/>
        <w:rPr>
          <w:rFonts w:eastAsia="Calibri"/>
          <w:b/>
          <w:lang w:val="hr-HR" w:eastAsia="en-US"/>
        </w:rPr>
      </w:pPr>
      <w:r w:rsidRPr="00B1641F">
        <w:rPr>
          <w:rFonts w:eastAsia="Calibri"/>
          <w:b/>
          <w:lang w:val="hr-HR" w:eastAsia="en-US"/>
        </w:rPr>
        <w:t>Dostavljeno:</w:t>
      </w:r>
    </w:p>
    <w:p w:rsidR="00B1641F" w:rsidRDefault="00B1641F" w:rsidP="004C0B22">
      <w:pPr>
        <w:ind w:left="720"/>
        <w:jc w:val="both"/>
        <w:rPr>
          <w:rFonts w:eastAsia="Calibri"/>
          <w:lang w:val="hr-HR" w:eastAsia="en-US"/>
        </w:rPr>
      </w:pPr>
    </w:p>
    <w:p w:rsidR="00B1641F" w:rsidRDefault="00B1641F" w:rsidP="00B1641F">
      <w:pPr>
        <w:pStyle w:val="ListParagraph"/>
        <w:numPr>
          <w:ilvl w:val="0"/>
          <w:numId w:val="3"/>
        </w:numPr>
        <w:jc w:val="both"/>
        <w:rPr>
          <w:rFonts w:eastAsia="Calibri"/>
          <w:lang w:val="hr-HR" w:eastAsia="en-US"/>
        </w:rPr>
      </w:pPr>
      <w:r>
        <w:rPr>
          <w:rFonts w:eastAsia="Calibri"/>
          <w:lang w:val="hr-HR" w:eastAsia="en-US"/>
        </w:rPr>
        <w:t xml:space="preserve">Članovima komisije                                                 </w:t>
      </w:r>
      <w:r w:rsidRPr="00B1641F">
        <w:rPr>
          <w:rFonts w:eastAsia="Calibri"/>
          <w:b/>
          <w:lang w:val="hr-HR" w:eastAsia="en-US"/>
        </w:rPr>
        <w:t>NAČELNIK OPĆINE</w:t>
      </w:r>
    </w:p>
    <w:p w:rsidR="00B1641F" w:rsidRDefault="00B1641F" w:rsidP="00B1641F">
      <w:pPr>
        <w:pStyle w:val="ListParagraph"/>
        <w:numPr>
          <w:ilvl w:val="0"/>
          <w:numId w:val="3"/>
        </w:numPr>
        <w:jc w:val="both"/>
        <w:rPr>
          <w:rFonts w:eastAsia="Calibri"/>
          <w:lang w:val="hr-HR" w:eastAsia="en-US"/>
        </w:rPr>
      </w:pPr>
      <w:r>
        <w:rPr>
          <w:rFonts w:eastAsia="Calibri"/>
          <w:lang w:val="hr-HR" w:eastAsia="en-US"/>
        </w:rPr>
        <w:t>a/a                                                                             __________________</w:t>
      </w:r>
    </w:p>
    <w:p w:rsidR="00B1641F" w:rsidRPr="00B1641F" w:rsidRDefault="00B1641F" w:rsidP="00B1641F">
      <w:pPr>
        <w:pStyle w:val="ListParagraph"/>
        <w:ind w:left="1080"/>
        <w:jc w:val="both"/>
        <w:rPr>
          <w:rFonts w:eastAsia="Calibri"/>
          <w:b/>
          <w:lang w:val="hr-HR" w:eastAsia="en-US"/>
        </w:rPr>
      </w:pPr>
      <w:r>
        <w:rPr>
          <w:rFonts w:eastAsia="Calibri"/>
          <w:lang w:val="hr-HR" w:eastAsia="en-US"/>
        </w:rPr>
        <w:t xml:space="preserve">                                                                                  </w:t>
      </w:r>
      <w:r w:rsidRPr="00B1641F">
        <w:rPr>
          <w:rFonts w:eastAsia="Calibri"/>
          <w:b/>
          <w:lang w:val="hr-HR" w:eastAsia="en-US"/>
        </w:rPr>
        <w:t>Hasan Ajkunić, prof.</w:t>
      </w:r>
    </w:p>
    <w:p w:rsidR="00B1641F" w:rsidRPr="00B1641F" w:rsidRDefault="00B1641F" w:rsidP="00B1641F">
      <w:pPr>
        <w:pStyle w:val="ListParagraph"/>
        <w:ind w:left="1080"/>
        <w:jc w:val="both"/>
        <w:rPr>
          <w:rFonts w:eastAsia="Calibri"/>
          <w:b/>
          <w:lang w:val="hr-HR" w:eastAsia="en-US"/>
        </w:rPr>
      </w:pPr>
    </w:p>
    <w:p w:rsidR="004C0B22" w:rsidRPr="003F411D" w:rsidRDefault="004C0B22" w:rsidP="00B1641F">
      <w:pPr>
        <w:ind w:left="720"/>
        <w:jc w:val="both"/>
      </w:pPr>
      <w:r w:rsidRPr="00D25ABB">
        <w:rPr>
          <w:rFonts w:eastAsia="Calibri"/>
          <w:lang w:val="hr-HR" w:eastAsia="en-US"/>
        </w:rPr>
        <w:t xml:space="preserve">                                          </w:t>
      </w:r>
      <w:r w:rsidRPr="00D25ABB">
        <w:rPr>
          <w:rFonts w:eastAsia="Calibri"/>
          <w:lang w:val="hr-HR" w:eastAsia="en-US"/>
        </w:rPr>
        <w:tab/>
      </w:r>
      <w:r w:rsidRPr="00D25ABB">
        <w:rPr>
          <w:rFonts w:eastAsia="Calibri"/>
          <w:lang w:val="hr-HR" w:eastAsia="en-US"/>
        </w:rPr>
        <w:tab/>
      </w:r>
      <w:r w:rsidRPr="00D25ABB">
        <w:rPr>
          <w:rFonts w:eastAsia="Calibri"/>
          <w:lang w:val="hr-HR" w:eastAsia="en-US"/>
        </w:rPr>
        <w:tab/>
      </w:r>
      <w:r w:rsidRPr="00D25ABB">
        <w:rPr>
          <w:rFonts w:eastAsia="Calibri"/>
          <w:lang w:val="hr-HR" w:eastAsia="en-US"/>
        </w:rPr>
        <w:tab/>
      </w:r>
      <w:r w:rsidRPr="00D25ABB">
        <w:rPr>
          <w:rFonts w:eastAsia="Calibri"/>
          <w:lang w:val="hr-HR" w:eastAsia="en-US"/>
        </w:rPr>
        <w:tab/>
        <w:t xml:space="preserve">      </w:t>
      </w:r>
      <w:r w:rsidRPr="00D25ABB">
        <w:rPr>
          <w:rFonts w:eastAsia="Calibri"/>
          <w:lang w:val="hr-HR" w:eastAsia="en-US"/>
        </w:rPr>
        <w:tab/>
      </w:r>
      <w:r w:rsidRPr="00D25ABB">
        <w:rPr>
          <w:rFonts w:eastAsia="Calibri"/>
          <w:lang w:val="hr-HR" w:eastAsia="en-US"/>
        </w:rPr>
        <w:tab/>
      </w:r>
      <w:r w:rsidRPr="00D25ABB">
        <w:rPr>
          <w:rFonts w:eastAsia="Calibri"/>
          <w:lang w:val="hr-HR" w:eastAsia="en-US"/>
        </w:rPr>
        <w:tab/>
      </w:r>
      <w:r w:rsidRPr="00D25ABB">
        <w:rPr>
          <w:rFonts w:eastAsia="Calibri"/>
          <w:lang w:val="hr-HR" w:eastAsia="en-US"/>
        </w:rPr>
        <w:tab/>
      </w:r>
      <w:r w:rsidRPr="00D25ABB">
        <w:rPr>
          <w:rFonts w:eastAsia="Calibri"/>
          <w:lang w:val="hr-HR" w:eastAsia="en-US"/>
        </w:rPr>
        <w:tab/>
      </w:r>
      <w:r w:rsidRPr="00D25ABB">
        <w:rPr>
          <w:rFonts w:eastAsia="Calibri"/>
          <w:lang w:val="hr-HR" w:eastAsia="en-US"/>
        </w:rPr>
        <w:tab/>
      </w:r>
      <w:r w:rsidRPr="00D25ABB">
        <w:rPr>
          <w:rFonts w:eastAsia="Calibri"/>
          <w:lang w:val="hr-HR" w:eastAsia="en-US"/>
        </w:rPr>
        <w:tab/>
      </w:r>
      <w:r w:rsidRPr="00D25ABB">
        <w:rPr>
          <w:rFonts w:eastAsia="Calibri"/>
          <w:lang w:val="hr-HR" w:eastAsia="en-US"/>
        </w:rPr>
        <w:tab/>
        <w:t xml:space="preserve">    </w:t>
      </w:r>
    </w:p>
    <w:p w:rsidR="003B70A1" w:rsidRDefault="003B70A1"/>
    <w:sectPr w:rsidR="003B70A1" w:rsidSect="00955F3A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DC4" w:rsidRDefault="009F4DC4">
      <w:r>
        <w:separator/>
      </w:r>
    </w:p>
  </w:endnote>
  <w:endnote w:type="continuationSeparator" w:id="0">
    <w:p w:rsidR="009F4DC4" w:rsidRDefault="009F4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DC4" w:rsidRDefault="009F4DC4">
      <w:r>
        <w:separator/>
      </w:r>
    </w:p>
  </w:footnote>
  <w:footnote w:type="continuationSeparator" w:id="0">
    <w:p w:rsidR="009F4DC4" w:rsidRDefault="009F4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12EA1"/>
    <w:multiLevelType w:val="hybridMultilevel"/>
    <w:tmpl w:val="B4CCA8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335B9B"/>
    <w:multiLevelType w:val="hybridMultilevel"/>
    <w:tmpl w:val="5AB656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C13B95"/>
    <w:multiLevelType w:val="hybridMultilevel"/>
    <w:tmpl w:val="0A84CEF2"/>
    <w:lvl w:ilvl="0" w:tplc="4D0C42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B22"/>
    <w:rsid w:val="003B70A1"/>
    <w:rsid w:val="004C0B22"/>
    <w:rsid w:val="009F4DC4"/>
    <w:rsid w:val="00B1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C0B2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C0B22"/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Footer">
    <w:name w:val="footer"/>
    <w:basedOn w:val="Normal"/>
    <w:link w:val="FooterChar"/>
    <w:rsid w:val="004C0B2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4C0B22"/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ListParagraph">
    <w:name w:val="List Paragraph"/>
    <w:basedOn w:val="Normal"/>
    <w:uiPriority w:val="34"/>
    <w:qFormat/>
    <w:rsid w:val="004C0B22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C0B2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C0B22"/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Footer">
    <w:name w:val="footer"/>
    <w:basedOn w:val="Normal"/>
    <w:link w:val="FooterChar"/>
    <w:rsid w:val="004C0B2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4C0B22"/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ListParagraph">
    <w:name w:val="List Paragraph"/>
    <w:basedOn w:val="Normal"/>
    <w:uiPriority w:val="34"/>
    <w:qFormat/>
    <w:rsid w:val="004C0B2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Sirija</dc:creator>
  <cp:lastModifiedBy>Sirija</cp:lastModifiedBy>
  <cp:revision>3</cp:revision>
  <cp:lastPrinted>2018-11-23T06:57:00Z</cp:lastPrinted>
  <dcterms:created xsi:type="dcterms:W3CDTF">2018-11-23T06:40:00Z</dcterms:created>
  <dcterms:modified xsi:type="dcterms:W3CDTF">2018-11-23T07:04:00Z</dcterms:modified>
</cp:coreProperties>
</file>